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9"/>
      </w:tblGrid>
      <w:tr w:rsidR="00000000" w14:paraId="59FB778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9"/>
            </w:tblGrid>
            <w:tr w:rsidR="00000000" w14:paraId="784BBA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909908" w14:textId="77777777" w:rsidR="00000000" w:rsidRDefault="00CB4C15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2022/2023 </w:t>
                  </w:r>
                </w:p>
              </w:tc>
            </w:tr>
            <w:tr w:rsidR="00000000" w14:paraId="7838CA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 w14:paraId="1BFF09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2F2408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785FD62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564E1A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MS000085/2022 </w:t>
                        </w:r>
                      </w:p>
                    </w:tc>
                  </w:tr>
                  <w:tr w:rsidR="00000000" w14:paraId="2B8021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1A37A1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2D4CD77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DB2DFE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28/03/2022 </w:t>
                        </w:r>
                      </w:p>
                    </w:tc>
                  </w:tr>
                  <w:tr w:rsidR="00000000" w14:paraId="777ACB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A4FA5E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D25D3F8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41B99E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MR012435/2022 </w:t>
                        </w:r>
                      </w:p>
                    </w:tc>
                  </w:tr>
                  <w:tr w:rsidR="00000000" w14:paraId="75999D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327F8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BB11C0E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8DF917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14022.140594/2022-61 </w:t>
                        </w:r>
                      </w:p>
                    </w:tc>
                  </w:tr>
                  <w:tr w:rsidR="00000000" w14:paraId="7400A6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2BEB2C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CE9C7D5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A40FD8" w14:textId="77777777" w:rsidR="00000000" w:rsidRDefault="00CB4C1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28/03/2022 </w:t>
                        </w:r>
                      </w:p>
                    </w:tc>
                  </w:tr>
                </w:tbl>
                <w:p w14:paraId="58068F63" w14:textId="77777777" w:rsidR="00000000" w:rsidRDefault="00CB4C15">
                  <w:pPr>
                    <w:rPr>
                      <w:rFonts w:eastAsia="Times New Roman"/>
                    </w:rPr>
                  </w:pPr>
                </w:p>
                <w:p w14:paraId="0EB7BBAF" w14:textId="77777777" w:rsidR="00000000" w:rsidRDefault="00CB4C15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39A7DF93" w14:textId="77777777" w:rsidR="00000000" w:rsidRDefault="00CB4C15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06F77C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B65CF1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HOTEIS RESTAURANTES BARES E SIMILARES MS, CNPJ n. 15.461.643/0001-00, neste ato representado(a) 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TRABALHADORES EM 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OTEIS, BARES, RESTAURANTES E SIMILARES DE CAMPO GRANDE - MS, CNPJ n. 15.418.387/0001-78, neste ato representado(a) 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fevereiro de 2022 a 31 de janeiro de 2023 e a data-base da categoria em 01º de fevereiro.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nas empresas comerciais de hotéis, apart-hoteis, flats, motéis, pensões, pousadas, hospedarias, drive-ins, restaurantes, cantinas, churrascarias, pizzarias, pastelarias, roti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sserias, choperias, sobarias, sorveterias, boates e buffets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Campo Grande/MS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30186963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38FBAA8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BF881A5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7925CC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Piso Salarial da categoria, a partir de 01 de feve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reiro de 2.022, será de R$ 1.315,00 (Hum mil, trezentos e quinze reais).</w:t>
                  </w:r>
                </w:p>
                <w:p w14:paraId="44FDFCD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EDA512C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868E93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CORREÇÃO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BC8A458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empregados que recebem salário superior terão seus salários corrigidos aplicando-se o percentual de 5,0 %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(cinco por cento), sobre o salário que recebiam em 1º de fevereiro de 2.021.</w:t>
                  </w:r>
                </w:p>
                <w:p w14:paraId="0B55C66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4A9D9D9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317580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SALÁRIO AO SUBSTITUTO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198406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8ECB7E4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Trabalhador chamado para substituir outro com salário superior, será garantido igual salário do substituído, enquanto durar a substituição, seja qual for o motivo, sem considerar as vantagens pessoais.</w:t>
                  </w:r>
                </w:p>
                <w:p w14:paraId="5C57904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647B81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Enquanto perdurar a substituição que não tenha 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ráter eventual, o empregado substituto fará jus ao salário contratual do empregado substituído.</w:t>
                  </w:r>
                </w:p>
                <w:p w14:paraId="286DDCD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9BEDEF5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A7C1A38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Ficam proibidos quaisquer descontos salariais que não decorram de Lei, Acordos, Convenções ou Dissídios Coletivos,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 ainda, adiantamentos ou descontos não autorizados expressamente pelo próprio empregado.</w:t>
                  </w:r>
                </w:p>
                <w:p w14:paraId="1606BF8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MAIOR REMUNERAÇÃO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BEF123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maior remuneração para cálculo das férias, 13º salário e rescisão contratual, será o correspondente a mé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dia mensal de todas as variáveis e fixas no período correspondente aos 12 (doze) últimos meses efetivamente trabalhados, considerando-se como mês completo aquele trabalhado mais de 14 (quatorze) dias.</w:t>
                  </w:r>
                </w:p>
                <w:p w14:paraId="3D9B605D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CCC9E1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0D984B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Gratificações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3C52856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TAXA DE SERVIÇOS (GORGETAS)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DA94C8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cobram taxa de serviços em nota de despesas, ratearão o quanto recebido a esse título de acordo com o estabelecido na Lei 3.419/2017, que modificou o Art. 457 da CLT podend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as inscritas em regime de Tributação Federal Simples Nacional, reter 20% e as optantes pelo regime de Tributação Federal Lucro Real, Presumido ou Arbitrado,  reter 33% sobre o total da mesma, para custear os encargos sociais, previdenciários e trabalhist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derivados da sua integração à remuneração dos empregados,  distribuindo o valor remanescente entre os empregados.</w:t>
                  </w:r>
                </w:p>
                <w:p w14:paraId="72E89B7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 Somente mediante acordo coletivo de trabalho com o Sindicato Laboral, serão fixados critérios do custeio e rateio: como des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tinatários, sistema de pontos e forma de divulgação dos valores recebidos a esse título.</w:t>
                  </w:r>
                </w:p>
                <w:p w14:paraId="60A23E89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2º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As empresas com mais de 60 empregados deverão constituir comissão para fiscalizar e acompanhar a distribuição da referida taxa, na conformidade prevista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 Lei.</w:t>
                  </w:r>
                </w:p>
                <w:p w14:paraId="4B460115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3º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  O empregador deverá anotar na CTPS e no contracheque de seus empregados o salário contratual fixo e o percentual percebido a título de taxa de serviços (Gorgeta).</w:t>
                  </w:r>
                </w:p>
                <w:p w14:paraId="57A4715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4º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A média das gorjetas e o salário fixo, integram o cál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culo dea remuneração do 13º salário, férias e verbas rescisórias.</w:t>
                  </w:r>
                </w:p>
                <w:p w14:paraId="5A9E352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14:paraId="026B2697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3B43284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302CC9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D70B1F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extras diárias serão pagas com adicional de 60% (sessenta por cento).                </w:t>
                  </w:r>
                </w:p>
                <w:p w14:paraId="1769735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37B3D4E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9EBAB9B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DÉCIMA - BENEFICIO SOCIAL FAMILIAR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tbl>
                  <w:tblPr>
                    <w:tblW w:w="85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000000" w14:paraId="3852457D" w14:textId="77777777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14:paraId="11234416" w14:textId="77777777" w:rsidR="00000000" w:rsidRDefault="00CB4C15">
                        <w:pPr>
                          <w:pStyle w:val="NormalWeb"/>
                        </w:pPr>
                        <w:r>
                          <w:t>As Entidades Sindicais Convenentes prestarão, indistintamente a todos os trabalhadores e empregadores subordinados a esta Convenção Coletiva de Trabalho, o plano Benefício Social Familiar abaixo definido pelas entidade</w:t>
                        </w:r>
                        <w:r>
                          <w:t>s convenentes e discriminado no Manual de Orientação e Regras, parte integrante desta cláusula, através de organização gestora especializada e aprovada pelas Entidades Convenentes.</w:t>
                        </w:r>
                      </w:p>
                      <w:p w14:paraId="10F7AD41" w14:textId="77777777" w:rsidR="00000000" w:rsidRDefault="00CB4C15">
                        <w:pPr>
                          <w:pStyle w:val="NormalWeb"/>
                        </w:pPr>
                        <w:r>
                          <w:t>Parágrafo Primeiro – A prestação do plano Benefício Social Familiar iniciar</w:t>
                        </w:r>
                        <w:r>
                          <w:t xml:space="preserve">á a partir de 01/04/2022 e terá como base para os procedimentos necessários ao atendimento dos trabalhadores e empregadores, o Manual de Orientação e Regras disponibilizado no website </w:t>
                        </w:r>
                        <w:hyperlink r:id="rId4" w:history="1">
                          <w:r>
                            <w:rPr>
                              <w:rStyle w:val="Hyperlink"/>
                            </w:rPr>
                            <w:t>www</w:t>
                          </w:r>
                          <w:r>
                            <w:rPr>
                              <w:rStyle w:val="Hyperlink"/>
                            </w:rPr>
                            <w:t>.beneficiosocial.com.br/manuais-orientacao</w:t>
                          </w:r>
                        </w:hyperlink>
                        <w:r>
                          <w:t>.</w:t>
                        </w:r>
                      </w:p>
                      <w:p w14:paraId="08BE3F01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0583B92C" w14:textId="77777777" w:rsidR="00000000" w:rsidRDefault="00CB4C15">
                        <w:pPr>
                          <w:pStyle w:val="NormalWeb"/>
                        </w:pPr>
                        <w:r>
                          <w:t>Parágrafo Segundo – Para efetiva viabilidade financeira do plano Benefício Social Familiar e com expresso consentimento das entidades convenentes, as empresas, recolherão a título de custeio, até o dia 10 (dez)</w:t>
                        </w:r>
                        <w:r>
                          <w:t xml:space="preserve"> de cada mês, iniciando a partir de 10/04/2022, o valor total de R$20,00 (vinte reais), por trabalhador que possua, exclusivamente, por meio de boleto disponibilizado pela gestora no website </w:t>
                        </w:r>
                        <w:hyperlink r:id="rId5" w:history="1">
                          <w:r>
                            <w:rPr>
                              <w:rStyle w:val="Hyperlink"/>
                            </w:rPr>
                            <w:t>www.beneficios</w:t>
                          </w:r>
                          <w:r>
                            <w:rPr>
                              <w:rStyle w:val="Hyperlink"/>
                            </w:rPr>
                            <w:t>ocial.com.br</w:t>
                          </w:r>
                        </w:hyperlink>
                        <w:r>
                          <w:t xml:space="preserve">. Com o intuito de regular e dirimir possíveis dúvidas, dos procedimentos na prestação dos benefícios as Disposições Gerais, Manual de Orientação e Regras, e Tabela de Benefícios são registrados em cartório. O custeio do plano Benefício Social </w:t>
                        </w:r>
                        <w:r>
                          <w:t>Familiar será de responsabilidade integral das empresas, ficando vedado qualquer desconto nos salários dos trabalhadores.</w:t>
                        </w:r>
                      </w:p>
                      <w:p w14:paraId="29637C1E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689D480A" w14:textId="77777777" w:rsidR="00000000" w:rsidRDefault="00CB4C15">
                        <w:pPr>
                          <w:pStyle w:val="NormalWeb"/>
                        </w:pPr>
                        <w:r>
                          <w:t xml:space="preserve">Parágrafo Terceiro – Em caso de afastamento de trabalhador motivado por doença ou acidente, o empregador manterá o recolhimento por </w:t>
                        </w:r>
                        <w:r>
                          <w:t>até 12 (doze) meses. Caso o afastamento do empregado seja por período superior a 12 (doze) meses, o empregador fica desobrigado ao recolhimento desta contribuição a partir do décimo terceiro mês, ficando garantido ao trabalhador afastado todos os benefício</w:t>
                        </w:r>
                        <w:r>
                          <w:t>s sociais previstos nesta cláusula e no Manual de Orientação e Regras, até seu efetivo retorno ao trabalho, quando então o empregador retomará o recolhimento relativo ao trabalhador afastado.</w:t>
                        </w:r>
                      </w:p>
                      <w:p w14:paraId="74E189DC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0B72C226" w14:textId="77777777" w:rsidR="00000000" w:rsidRDefault="00CB4C15">
                        <w:pPr>
                          <w:pStyle w:val="NormalWeb"/>
                        </w:pPr>
                        <w:r>
                          <w:t xml:space="preserve">Parágrafo Quarto – Devido à natureza social, emergencial e de </w:t>
                        </w:r>
                        <w:r>
                          <w:t>apoio imediato, dos benefícios sociais definidos pelas entidades, na ocorrência de qualquer evento que gere direito de atendimento ao trabalhador e seus familiares, o empregador deverá preencher o comunicado disponível no website da gestora, no prazo máxim</w:t>
                        </w:r>
                        <w:r>
                          <w:t>o e improrrogável de até 90 (noventa) dias a contar do fato gerador e, no caso de nascimento de filhos, este prazo será de até 150 (cento e cinquenta) dias. O empregador que não observar estes prazos, poderá arcar com sanções pecuniárias em favor do trabal</w:t>
                        </w:r>
                        <w:r>
                          <w:t>hador ou família prejudicada, como se inadimplente estivesse. Caso a empresa não efetue o comunicado junto à gestora, o trabalhador e seus beneficiários, não perderão o direito ao benefício, devendo a entidade efetuar tal comunicado, não eximindo o emprega</w:t>
                        </w:r>
                        <w:r>
                          <w:t>dor de suas responsabilidades e sanções previstas.</w:t>
                        </w:r>
                      </w:p>
                      <w:p w14:paraId="4C8EDDC8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1FDF216B" w14:textId="77777777" w:rsidR="00000000" w:rsidRDefault="00CB4C15">
                        <w:pPr>
                          <w:pStyle w:val="NormalWeb"/>
                        </w:pPr>
                        <w:r>
                          <w:t xml:space="preserve">Parágrafo Quinto – </w:t>
                        </w:r>
                        <w:r>
                          <w:t>O empregador que estiver inadimplente ou efetuar recolhimento por valor inferior ao devido, perderá o direito aos benefícios a ele disponibilizados, até sua regularização. Nesses casos, na ocorrência de qualquer evento que gere direito de atendimento aos t</w:t>
                        </w:r>
                        <w:r>
                          <w:t>rabalhadores e seus familiares, estes não perderão direito aos benefícios e serão atendidos normalmente pela gestora, a mando das entidades, com exceção dos benefícios prestados por empresas terceirizadas. Neste caso, o trabalhador e seus familiares perder</w:t>
                        </w:r>
                        <w:r>
                          <w:t xml:space="preserve">ão o direito ao recebimento ou prestação desses benefícios. Assim, o empregador responderá, perante o empregado e/ou a seus dependentes, a título de indenização, o equivalente a 10 (dez) vezes o menor piso salarial da categoria vigente à época da infração </w:t>
                        </w:r>
                        <w:r>
                          <w:t>em favor do trabalhador ou seus beneficiários. Caso o empregador regularize seus débitos no prazo de até 15 (quinze) dias corridos, após o recebimento de comunicação de débito feita por e-mail, pela gestora, ficará isento desta indenização.</w:t>
                        </w:r>
                      </w:p>
                      <w:p w14:paraId="4E11BE97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19C993F4" w14:textId="77777777" w:rsidR="00000000" w:rsidRDefault="00CB4C15">
                        <w:pPr>
                          <w:pStyle w:val="NormalWeb"/>
                        </w:pPr>
                        <w:r>
                          <w:t>Parágrafo Sex</w:t>
                        </w:r>
                        <w:r>
                          <w:t>to: O não pagamento do custeio previsto nesta cláusula, até o dia 10 (dez) de cada mês, acarretará a incidência em multa de 10% (dez por cento) pelo atraso do pagamento, e juros mensais de 1% (um por cento), conforme previsão legal, além das demais penalid</w:t>
                        </w:r>
                        <w:r>
                          <w:t>ades previstas nesta norma coletiva, podendo ainda, o empregador ter seu nome incluso em órgãos de proteção ao crédito.</w:t>
                        </w:r>
                      </w:p>
                      <w:p w14:paraId="653DBD19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0C8C5089" w14:textId="77777777" w:rsidR="00000000" w:rsidRDefault="00CB4C15">
                        <w:pPr>
                          <w:pStyle w:val="NormalWeb"/>
                        </w:pPr>
                        <w:r>
                          <w:t>Parágrafo Sétimo – Nas planilhas de custos, editais de licitações ou nas repactuações de contratos, devido a fatos novos constantes ne</w:t>
                        </w:r>
                        <w:r>
                          <w:t>sta norma coletiva, e em consonância à instrução normativa em vigência, nestes casos, obrigatoriamente, deverão constar a provisão financeira para cumprimento desta cláusula, preservando o patrimônio jurídico dos trabalhadores, conforme o artigo 444 da CLT</w:t>
                        </w:r>
                        <w:r>
                          <w:t>. </w:t>
                        </w:r>
                      </w:p>
                      <w:p w14:paraId="7DFA532F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075633DB" w14:textId="77777777" w:rsidR="00000000" w:rsidRDefault="00CB4C15">
                        <w:pPr>
                          <w:pStyle w:val="NormalWeb"/>
                        </w:pPr>
                        <w:r>
                          <w:t>Parágrafo Oitavo – Estará disponível no website da gestora, a cada recolhimento mensal, o Comprovante de Regularidade específico para atendimento da cláusula do plano Benefício Social Familiar, referente aos últimos 5 (cinco) anos, a ser apresentado a</w:t>
                        </w:r>
                        <w:r>
                          <w:t>o contratante, as entidades sindicais, e a órgãos fiscalizadores, quando solicitado.</w:t>
                        </w:r>
                      </w:p>
                      <w:p w14:paraId="110FFCC1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2D602153" w14:textId="77777777" w:rsidR="00000000" w:rsidRDefault="00CB4C15">
                        <w:pPr>
                          <w:pStyle w:val="NormalWeb"/>
                        </w:pPr>
                        <w:r>
                          <w:t>Parágrafo Nono – O presente serviço social não tem natureza salarial, por não se constituir em contraprestação de serviços, tendo caráter compulsório e ser eminentemente</w:t>
                        </w:r>
                        <w:r>
                          <w:t xml:space="preserve"> assistencial e emergencial.</w:t>
                        </w:r>
                      </w:p>
                      <w:p w14:paraId="5BEB433E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6B7F9669" w14:textId="77777777" w:rsidR="00000000" w:rsidRDefault="00CB4C15">
                        <w:pPr>
                          <w:pStyle w:val="NormalWeb"/>
                        </w:pPr>
                        <w:r>
                          <w:t>Parágrafo Décimo – Fica desde já consignado e aceito entre as partes, que o envio e usos de dados dos empregados é para o fim exclusivo da disponibilização dos benefícios contratados e objetos da presente prestação de serviço</w:t>
                        </w:r>
                        <w:r>
                          <w:t>s, nos termos da Lei n. 13.709/2018 – Lei Geral de Proteção de Dados – LGPD, e demais legislações pertinentes à confidencialidade.</w:t>
                        </w:r>
                      </w:p>
                      <w:p w14:paraId="18BA21C6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14:paraId="37AE6480" w14:textId="77777777" w:rsidR="00000000" w:rsidRDefault="00CB4C15">
                        <w:pPr>
                          <w:pStyle w:val="NormalWeb"/>
                        </w:pPr>
                        <w:r>
                          <w:t>Parágrafo Décimo Primeiro – Para lisura e transparência na prestação dos benefícios, segue abaixo um resumo e breve descrit</w:t>
                        </w:r>
                        <w:r>
                          <w:t>ivo da forma em que eles serão disponibilizados. Tal procedimento é necessário para que não haja desvio de finalidade do benefício a ser disponibilizado e deverá ser rigorosamente observado, devido ser caráter social, emergencial e de natureza alimentícia.</w:t>
                        </w:r>
                        <w:r>
                          <w:t xml:space="preserve"> A íntegra do Manual de Orientação e Regras que regem a prestação dos benefícios estará registrado em cartório e disponível no website da gestora.</w:t>
                        </w:r>
                      </w:p>
                    </w:tc>
                  </w:tr>
                  <w:tr w:rsidR="00000000" w14:paraId="12B01F89" w14:textId="77777777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14:paraId="47408EB9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  <w:u w:val="single"/>
                          </w:rPr>
                          <w:t> </w:t>
                        </w:r>
                      </w:p>
                    </w:tc>
                  </w:tr>
                </w:tbl>
                <w:p w14:paraId="09B6737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3"/>
                    <w:gridCol w:w="719"/>
                    <w:gridCol w:w="1301"/>
                    <w:gridCol w:w="6008"/>
                    <w:gridCol w:w="104"/>
                  </w:tblGrid>
                  <w:tr w:rsidR="00000000" w14:paraId="15B79F16" w14:textId="77777777">
                    <w:trPr>
                      <w:tblCellSpacing w:w="0" w:type="dxa"/>
                    </w:trPr>
                    <w:tc>
                      <w:tcPr>
                        <w:tcW w:w="10275" w:type="dxa"/>
                        <w:gridSpan w:val="5"/>
                        <w:vAlign w:val="center"/>
                        <w:hideMark/>
                      </w:tcPr>
                      <w:p w14:paraId="37781B2F" w14:textId="77777777" w:rsidR="00000000" w:rsidRDefault="00CB4C1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 w14:paraId="10039400" w14:textId="77777777">
                    <w:trPr>
                      <w:tblCellSpacing w:w="0" w:type="dxa"/>
                    </w:trPr>
                    <w:tc>
                      <w:tcPr>
                        <w:tcW w:w="10275" w:type="dxa"/>
                        <w:gridSpan w:val="5"/>
                        <w:vAlign w:val="center"/>
                        <w:hideMark/>
                      </w:tcPr>
                      <w:p w14:paraId="405ECDA2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</w:tc>
                  </w:tr>
                  <w:tr w:rsidR="00000000" w14:paraId="74477627" w14:textId="77777777">
                    <w:trPr>
                      <w:tblCellSpacing w:w="0" w:type="dxa"/>
                    </w:trPr>
                    <w:tc>
                      <w:tcPr>
                        <w:tcW w:w="10275" w:type="dxa"/>
                        <w:gridSpan w:val="5"/>
                        <w:vAlign w:val="center"/>
                        <w:hideMark/>
                      </w:tcPr>
                      <w:p w14:paraId="745176CC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 </w:t>
                        </w:r>
                      </w:p>
                    </w:tc>
                  </w:tr>
                  <w:tr w:rsidR="00000000" w14:paraId="2CCAA6D1" w14:textId="77777777">
                    <w:trPr>
                      <w:tblCellSpacing w:w="0" w:type="dxa"/>
                    </w:trPr>
                    <w:tc>
                      <w:tcPr>
                        <w:tcW w:w="10170" w:type="dxa"/>
                        <w:gridSpan w:val="4"/>
                        <w:vAlign w:val="center"/>
                        <w:hideMark/>
                      </w:tcPr>
                      <w:p w14:paraId="748CB4B8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RESUMO DOS BENEFÍCIOS DISPONÍ</w:t>
                        </w:r>
                        <w:r>
                          <w:rPr>
                            <w:rStyle w:val="Forte"/>
                          </w:rPr>
                          <w:t>VEIS PARA TRABALHADORES E EMPREGADORES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54FDEF1A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0DEB5BA5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756E68C1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27B5A33C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7E43F6A8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105A7E46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7AAB04FD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AEA3741" w14:textId="77777777">
                    <w:trPr>
                      <w:tblCellSpacing w:w="0" w:type="dxa"/>
                    </w:trPr>
                    <w:tc>
                      <w:tcPr>
                        <w:tcW w:w="10170" w:type="dxa"/>
                        <w:gridSpan w:val="4"/>
                        <w:vAlign w:val="center"/>
                        <w:hideMark/>
                      </w:tcPr>
                      <w:p w14:paraId="192774A1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BENEFÍCIOS PARA OS TRABALHADORES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19B1F3FF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73B42741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6656AC9A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BENEFICIOS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vAlign w:val="center"/>
                        <w:hideMark/>
                      </w:tcPr>
                      <w:p w14:paraId="262870AE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FORMA DE PRESTAÇÃO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787789CA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DESCRITIVO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1CEE0EA2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01E8FB6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6152D09D" w14:textId="77777777" w:rsidR="00000000" w:rsidRDefault="00CB4C15">
                        <w:pPr>
                          <w:pStyle w:val="NormalWeb"/>
                        </w:pPr>
                        <w:r>
                          <w:t>BENEFÍCIO NATALIDADE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4119F55F" w14:textId="77777777" w:rsidR="00000000" w:rsidRDefault="00CB4C15">
                        <w:pPr>
                          <w:pStyle w:val="NormalWeb"/>
                        </w:pPr>
                        <w:r>
                          <w:t>1X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1BE70B4A" w14:textId="77777777" w:rsidR="00000000" w:rsidRDefault="00CB4C15">
                        <w:pPr>
                          <w:pStyle w:val="NormalWeb"/>
                        </w:pPr>
                        <w:r>
                          <w:t> R$     600,00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09A8DE31" w14:textId="77777777" w:rsidR="00000000" w:rsidRDefault="00CB4C15">
                        <w:pPr>
                          <w:pStyle w:val="NormalWeb"/>
                        </w:pPr>
                        <w:r>
                          <w:t>EM CASO DE NASCIMENTO DE FILHO DE TRABALHADOR (A) SERÁ DISPONIBILIZADO ATRAVÉS DE CARTÃO DE DÉBITO PRÉ PAGO, COM O INTUITO DE BANCARIZAR A FAMÍLIA  DO BENEFICIÁRIO, REDUZINDO SUAS DESPESAS BANCÁRIAS E FACILITANDO A UTILIZAÇÃO DESTE BENEFÍCIO.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2E60BC24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04F49315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3F7C22C4" w14:textId="77777777" w:rsidR="00000000" w:rsidRDefault="00CB4C15">
                        <w:pPr>
                          <w:pStyle w:val="NormalWeb"/>
                        </w:pPr>
                        <w:r>
                          <w:t>BENEFÍ</w:t>
                        </w:r>
                        <w:r>
                          <w:t>CIO CASAMENTO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184E9764" w14:textId="77777777" w:rsidR="00000000" w:rsidRDefault="00CB4C15">
                        <w:pPr>
                          <w:pStyle w:val="NormalWeb"/>
                        </w:pPr>
                        <w:r>
                          <w:t>1X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1A12972B" w14:textId="77777777" w:rsidR="00000000" w:rsidRDefault="00CB4C15">
                        <w:pPr>
                          <w:pStyle w:val="NormalWeb"/>
                        </w:pPr>
                        <w:r>
                          <w:t> R$     400,00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563E1D2B" w14:textId="77777777" w:rsidR="00000000" w:rsidRDefault="00CB4C15">
                        <w:pPr>
                          <w:pStyle w:val="NormalWeb"/>
                        </w:pPr>
                        <w:r>
                          <w:t>SERÁ DISPONIBILIZADO UMA VERBA AO TRABALHADOR, QUANDO DE SEU CASAMENTO, A TÍTULO DE GRATIFICAÇÃO E SEM BUROCRACIA.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27F1DE94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42809A2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35BB52C3" w14:textId="77777777" w:rsidR="00000000" w:rsidRDefault="00CB4C15">
                        <w:pPr>
                          <w:pStyle w:val="NormalWeb"/>
                        </w:pPr>
                        <w:r>
                          <w:t>BENEFÍCIO ALIMENTAR POR AFASTAMENTO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6E62DD47" w14:textId="77777777" w:rsidR="00000000" w:rsidRDefault="00CB4C15">
                        <w:pPr>
                          <w:pStyle w:val="NormalWeb"/>
                        </w:pPr>
                        <w:r>
                          <w:t>3X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61CFCFD9" w14:textId="77777777" w:rsidR="00000000" w:rsidRDefault="00CB4C15">
                        <w:pPr>
                          <w:pStyle w:val="NormalWeb"/>
                        </w:pPr>
                        <w:r>
                          <w:t> R$     250,00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7C6596C3" w14:textId="77777777" w:rsidR="00000000" w:rsidRDefault="00CB4C15">
                        <w:pPr>
                          <w:pStyle w:val="NormalWeb"/>
                        </w:pPr>
                        <w:r>
                          <w:t>SERÁ ENCAMINHADO À RESIDÊNCIA DO TRABALHADOR AFASTAD</w:t>
                        </w:r>
                        <w:r>
                          <w:t>O ALIMENTOS DE QUALIDADE E VARIEDADE, FICANDO VEDADO O PAGAMENTO EM DINHEIRO OU VALES/ TICKET ALIMENTAÇÃO, PARA QUE NÃO HAJA DESVIO DE FINALIDADE DESTE BENEFÍCIO.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6055BC5C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44770C28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1F06817E" w14:textId="77777777" w:rsidR="00000000" w:rsidRDefault="00CB4C15">
                        <w:pPr>
                          <w:pStyle w:val="NormalWeb"/>
                        </w:pPr>
                        <w:r>
                          <w:t>BENEFÍCIO CAPACITAÇÃO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57A278FE" w14:textId="77777777" w:rsidR="00000000" w:rsidRDefault="00CB4C15">
                        <w:pPr>
                          <w:pStyle w:val="NormalWeb"/>
                        </w:pPr>
                        <w:r>
                          <w:t>1X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0F088749" w14:textId="77777777" w:rsidR="00000000" w:rsidRDefault="00CB4C15">
                        <w:pPr>
                          <w:pStyle w:val="NormalWeb"/>
                        </w:pPr>
                        <w:r>
                          <w:t> R$  2.000,00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553ABB48" w14:textId="77777777" w:rsidR="00000000" w:rsidRDefault="00CB4C15">
                        <w:pPr>
                          <w:pStyle w:val="NormalWeb"/>
                        </w:pPr>
                        <w:r>
                          <w:t>SERÁ DISPONIBILIZADO AOS FAMILIARES NA OCORRÊNCIA D</w:t>
                        </w:r>
                        <w:r>
                          <w:t>E FALECIMENTO OU INCAPACITAÇÃO PERMANENTE DO TRABALHADOR, CURSOS DE CAPACITAÇÃO PROFISSIONAL NA ÁREA DE INTERESSE DO BENEFICIADO, PARA MANUTENÇÃO E MELHORIA DA RENDA FAMILIAR. TAL VALOR SERÁ ENCAMINHADO DIRETAMENTE AO ORGÃO DE CAPACITAÇÃO ESCOLHIDO PELO BE</w:t>
                        </w:r>
                        <w:r>
                          <w:t>NEFICIÁRIO, EM CASO DE SALDO, ESTE SERÁ DISPONIBILIZADO PARA CUSTEIO DE LOCOMOÇÃO E ALIMENTAÇÃO.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492FA919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EC71182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261A3FD6" w14:textId="77777777" w:rsidR="00000000" w:rsidRDefault="00CB4C15">
                        <w:pPr>
                          <w:pStyle w:val="NormalWeb"/>
                        </w:pPr>
                        <w:r>
                          <w:t>BENEFÍCIO MANUTENÇÃO DE RENDA FAMILIAR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580FBE65" w14:textId="77777777" w:rsidR="00000000" w:rsidRDefault="00CB4C15">
                        <w:pPr>
                          <w:pStyle w:val="NormalWeb"/>
                        </w:pPr>
                        <w:r>
                          <w:t>6X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6F0817BC" w14:textId="77777777" w:rsidR="00000000" w:rsidRDefault="00CB4C15">
                        <w:pPr>
                          <w:pStyle w:val="NormalWeb"/>
                        </w:pPr>
                        <w:r>
                          <w:t> R$     800,00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2483687B" w14:textId="77777777" w:rsidR="00000000" w:rsidRDefault="00CB4C15">
                        <w:pPr>
                          <w:pStyle w:val="NormalWeb"/>
                        </w:pPr>
                        <w:r>
                          <w:t> SERÁ DISPONIBILIZADO AOS FAMILIARES NA OCORRÊNCIA DE FALECIMENTO OU INCAPACITAÇÃO PERMANENTE DO TR</w:t>
                        </w:r>
                        <w:r>
                          <w:t>ABALHADOR, ATRAVÉS DE CARTÃO DE DÉBITO PRÉ PAGO, O QUAL PODERÁ SER USADO POSTERIORMENTE PELO TRABALHADOR, REDUZINDO SUAS DESPESAS BANCÁRIAS. TAL BENEFÍCIO NÃO PODERÁ SER DISPONIBILIZADO DE FORMA INTEGRAL, PARA QUE NÃO HAJA DESVIO DE FINALIDADE DO MESMO.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604C00C9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F6B088B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15F7970C" w14:textId="77777777" w:rsidR="00000000" w:rsidRDefault="00CB4C15">
                        <w:pPr>
                          <w:pStyle w:val="NormalWeb"/>
                        </w:pPr>
                        <w:r>
                          <w:t>BENEFÍCIO ALIMENTAR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566A73A3" w14:textId="77777777" w:rsidR="00000000" w:rsidRDefault="00CB4C15">
                        <w:pPr>
                          <w:pStyle w:val="NormalWeb"/>
                        </w:pPr>
                        <w:r>
                          <w:t>6X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4CE30A9B" w14:textId="77777777" w:rsidR="00000000" w:rsidRDefault="00CB4C15">
                        <w:pPr>
                          <w:pStyle w:val="NormalWeb"/>
                        </w:pPr>
                        <w:r>
                          <w:t> R$     250,00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3D1AC6B5" w14:textId="77777777" w:rsidR="00000000" w:rsidRDefault="00CB4C15">
                        <w:pPr>
                          <w:pStyle w:val="NormalWeb"/>
                        </w:pPr>
                        <w:r>
                          <w:t>SERÁ  DISPONIBILIZADO AOS FAMILIARES NA OCORRÊNCIA DE FALECIMENTO OU INCAPACITAÇÃ</w:t>
                        </w:r>
                        <w:r>
                          <w:t>O PERMANENTE DO TRABALHADOR ALIMENTOS DE QUALIDADE E VARIEDADE, ENCAMINHADO À RESIDÊNCIA DA FAMÍLIA, FICANDO VEDADO O PAGAMENTO EM DINHEIRO OU VALES/ TICKET ALIMENTAÇÃO, PARA QUE NÃO HAJA DESVIO DE FINALIDADE DESTE BENEFÍCIO.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4745E4E5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AEFCF24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2833B728" w14:textId="77777777" w:rsidR="00000000" w:rsidRDefault="00CB4C15">
                        <w:pPr>
                          <w:pStyle w:val="NormalWeb"/>
                        </w:pPr>
                        <w:r>
                          <w:t>BENEFÍCIO SERVIÇO FUNERAL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63063A44" w14:textId="77777777" w:rsidR="00000000" w:rsidRDefault="00CB4C15">
                        <w:pPr>
                          <w:pStyle w:val="NormalWeb"/>
                        </w:pPr>
                        <w:r>
                          <w:t>1</w:t>
                        </w:r>
                        <w:r>
                          <w:t>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00F64083" w14:textId="77777777" w:rsidR="00000000" w:rsidRDefault="00CB4C15">
                        <w:pPr>
                          <w:pStyle w:val="NormalWeb"/>
                        </w:pPr>
                        <w:r>
                          <w:t> R$  3.500,00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02159418" w14:textId="77777777" w:rsidR="00000000" w:rsidRDefault="00CB4C15">
                        <w:pPr>
                          <w:pStyle w:val="NormalWeb"/>
                        </w:pPr>
                        <w:r>
                          <w:t>SERÁ ACIONADA UMA EMPRESA ESPECIALIZADA PARA PROVIDENCIAS DE SEPULTAMENTO, CASO A FAMÍLIA OPTE POR SERVIÇO DE MENOR CUSTO OU NÃO UTILIZE NOSSO PRESTADOR DE SERVIÇOS, O VALOR TOTAL OU O SALDO SERÁ ENCAMINHADO AO ARRIMO DA FAMÍLIA.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10DF2089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55328E8E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3CEA7F71" w14:textId="77777777" w:rsidR="00000000" w:rsidRDefault="00CB4C15">
                        <w:pPr>
                          <w:pStyle w:val="NormalWeb"/>
                        </w:pPr>
                        <w:r>
                          <w:t>BENEFÍC</w:t>
                        </w:r>
                        <w:r>
                          <w:t>IO CONTA CORRENTE VIRTUAL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vAlign w:val="center"/>
                        <w:hideMark/>
                      </w:tcPr>
                      <w:p w14:paraId="0B27EEAA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15FBB6B8" w14:textId="77777777" w:rsidR="00000000" w:rsidRDefault="00CB4C15">
                        <w:pPr>
                          <w:pStyle w:val="NormalWeb"/>
                        </w:pPr>
                        <w:r>
                          <w:t>TEM COMO OBJETIVO PROPICIAR AOS TRABALHADORES ACESSO AO SISTEMA BANCÁRIO ELETRÔNICO, ATRAVÉS DO FORNECIMENTO DE CARTÃO DE DÉBITO PRÉ-PAGO E APLICATIVO PARA GERENCIAMENTO DE SEUS GASTOS.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749D64D7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4B808CB4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0F93C092" w14:textId="77777777" w:rsidR="00000000" w:rsidRDefault="00CB4C15">
                        <w:pPr>
                          <w:pStyle w:val="NormalWeb"/>
                        </w:pPr>
                        <w:r>
                          <w:t>BENEFÍCIO RECOLOCAÇÃO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vAlign w:val="center"/>
                        <w:hideMark/>
                      </w:tcPr>
                      <w:p w14:paraId="324F527E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281C811E" w14:textId="77777777" w:rsidR="00000000" w:rsidRDefault="00CB4C15">
                        <w:pPr>
                          <w:pStyle w:val="NormalWeb"/>
                        </w:pPr>
                        <w:r>
                          <w:t>SERÁ DISP</w:t>
                        </w:r>
                        <w:r>
                          <w:t>ONIBILIZADO APLICATIVO SEM CONSUMO DA FRANQUIA DE DADOS, ONDE O TRABALHADOR TERÁ ACESSO A UMA GRANDE REDE DE VAGAS DISPONÍVEIS.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68923177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7986684A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1DA2B381" w14:textId="77777777" w:rsidR="00000000" w:rsidRDefault="00CB4C15">
                        <w:pPr>
                          <w:pStyle w:val="NormalWeb"/>
                        </w:pPr>
                        <w:r>
                          <w:t>BENEFÍCIO PRÉ-INVENTÁRIO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05CD14BD" w14:textId="77777777" w:rsidR="00000000" w:rsidRDefault="00CB4C15">
                        <w:pPr>
                          <w:pStyle w:val="NormalWeb"/>
                        </w:pPr>
                        <w:r>
                          <w:t>1X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14:paraId="27A144F8" w14:textId="77777777" w:rsidR="00000000" w:rsidRDefault="00CB4C15">
                        <w:pPr>
                          <w:pStyle w:val="NormalWeb"/>
                        </w:pPr>
                        <w:r>
                          <w:t> R$     500,00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70DF9B4F" w14:textId="77777777" w:rsidR="00000000" w:rsidRDefault="00CB4C15">
                        <w:pPr>
                          <w:pStyle w:val="NormalWeb"/>
                        </w:pPr>
                        <w:r>
                          <w:t>SERÁ ENCAMINHADO AO ARRIMO DA FAMÍLIA, COM O INTÚ</w:t>
                        </w:r>
                        <w:r>
                          <w:t>ITO DE MINIMIZAR AS DESPESAS COM AS DOCUMENTAÇÕES E PROCEDIMENTOS DE INVENTÁRIO.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4D560EE6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69C19CCA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345BDDD0" w14:textId="77777777" w:rsidR="00000000" w:rsidRDefault="00CB4C15">
                        <w:pPr>
                          <w:pStyle w:val="NormalWeb"/>
                        </w:pPr>
                        <w:r>
                          <w:t>BENEFÍCIO PSICOSSOCIAL E NUTRICIONAL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vAlign w:val="center"/>
                        <w:hideMark/>
                      </w:tcPr>
                      <w:p w14:paraId="43594303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526CAABF" w14:textId="77777777" w:rsidR="00000000" w:rsidRDefault="00CB4C15">
                        <w:pPr>
                          <w:pStyle w:val="NormalWeb"/>
                        </w:pPr>
                        <w:r>
                          <w:t>SERÁ DISPONIBILIZADO APOIO PSICOLÓGICO, SOCIAL E NUTRICIONAL, A TODOS OS TRABALHADORES DO SEGMENTO, VIA 0800, POR PROFISSIONAIS LE</w:t>
                        </w:r>
                        <w:r>
                          <w:t>GALMENTE CAPACITADOS.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2DDF475E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670289EE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43A8E1B3" w14:textId="77777777" w:rsidR="00000000" w:rsidRDefault="00CB4C15">
                        <w:pPr>
                          <w:pStyle w:val="NormalWeb"/>
                        </w:pPr>
                        <w:r>
                          <w:t>BENEFÍCIO CERTIFICAÇÃO DIGITAL (TRABALHADOR)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vAlign w:val="center"/>
                        <w:hideMark/>
                      </w:tcPr>
                      <w:p w14:paraId="40E77495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0A7048D5" w14:textId="77777777" w:rsidR="00000000" w:rsidRDefault="00CB4C15">
                        <w:pPr>
                          <w:pStyle w:val="NormalWeb"/>
                        </w:pPr>
                        <w:r>
                          <w:t>SERÁ DISPONIBILIZADO, EMPRESA LEGALMENTE HOMOLOGADA PARA CERTIFICAÇÃO DIGITAL, COM VALORES ABAIXO DO MERCADO, COM ATENDIMENTO EM REDE CREDENCIADA, VIRTUAL OU EM DOMICÍLIO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10A6B88C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4CFA0621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67725CB4" w14:textId="77777777" w:rsidR="00000000" w:rsidRDefault="00CB4C15">
                        <w:pPr>
                          <w:pStyle w:val="NormalWeb"/>
                        </w:pPr>
                        <w:r>
                          <w:t>CONSULT</w:t>
                        </w:r>
                        <w:r>
                          <w:t>A MÉDICA ONLINE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noWrap/>
                        <w:vAlign w:val="center"/>
                        <w:hideMark/>
                      </w:tcPr>
                      <w:p w14:paraId="295B5F27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315E1504" w14:textId="77777777" w:rsidR="00000000" w:rsidRDefault="00CB4C15">
                        <w:pPr>
                          <w:pStyle w:val="NormalWeb"/>
                        </w:pPr>
                        <w:r>
                          <w:t>SERÁ DISPONIBILIZADO AOS TRABALHADORES, FAMILIARES E PESSOAS DE SEU RELACIONAMENTO CONSULTA MÉDICA ONLINE COM UM CLÍNICO GERAL SEM CUSTO, PROPORCIONANDO UM ATENDIMENTO ÁGIL, MODERNO E DESBUROCRATIZADO, ATRAVÉS DE UM APLICATIVO QUE SEGU</w:t>
                        </w:r>
                        <w:r>
                          <w:t>E TODAS AS NORMAS REGULAMENTADAS PELO MINISTÉRIO DA SAÚDE. FICARÃO DISPONÍVEIS ATÉ 5 CONSULTAS PELO PERÍODO DE 12 MESES A CONTAR DO PRIMEIRO ATENDIMENTO. FICA TAMBÉM DISPONÍVEL UMA REDE DE LABORATÓRIOS CONVENIADOS PARA A REALIZAÇÃO DE EXAMES COM CUSTO ABAI</w:t>
                        </w:r>
                        <w:r>
                          <w:t>XO DA MÉDIA DE MERCADO.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0158F6A0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  <w:tr w:rsidR="00000000" w14:paraId="117CA56E" w14:textId="77777777">
                    <w:trPr>
                      <w:tblCellSpacing w:w="0" w:type="dxa"/>
                    </w:trPr>
                    <w:tc>
                      <w:tcPr>
                        <w:tcW w:w="2145" w:type="dxa"/>
                        <w:vAlign w:val="center"/>
                        <w:hideMark/>
                      </w:tcPr>
                      <w:p w14:paraId="2ECA0E0F" w14:textId="77777777" w:rsidR="00000000" w:rsidRDefault="00CB4C15">
                        <w:pPr>
                          <w:pStyle w:val="NormalWeb"/>
                        </w:pPr>
                        <w:r>
                          <w:t>BENEFÍCIO RENDA COMPLEMENTAR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noWrap/>
                        <w:vAlign w:val="center"/>
                        <w:hideMark/>
                      </w:tcPr>
                      <w:p w14:paraId="188A343C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6060" w:type="dxa"/>
                        <w:vAlign w:val="center"/>
                        <w:hideMark/>
                      </w:tcPr>
                      <w:p w14:paraId="0902B306" w14:textId="77777777" w:rsidR="00000000" w:rsidRDefault="00CB4C15">
                        <w:pPr>
                          <w:pStyle w:val="NormalWeb"/>
                        </w:pPr>
                        <w:r>
                          <w:t xml:space="preserve">TEM COMO OBJETIVO O AUMENTO DA RENDA FAMILIAR DO TRABALHADOR, ATRAVÉS DE PARCEIROS COMERCIAIS, OS QUAIS DISPONIBILIZARÃO PRODUTOS E SERVIÇOS PARA AQUISIÇÃO COM POSSIBILIDADE DE PARCELAMENTO E/OU </w:t>
                        </w:r>
                        <w:r>
                          <w:t>CUSTO SUBSIDIADOS, PARA REVENDA COM GRANDE POTENCIAL LUCRATIVO, E RENDA OFICIAL E COMPLEMENTAR A FAMÍLIA.</w:t>
                        </w:r>
                      </w:p>
                    </w:tc>
                    <w:tc>
                      <w:tcPr>
                        <w:tcW w:w="105" w:type="dxa"/>
                        <w:vAlign w:val="center"/>
                        <w:hideMark/>
                      </w:tcPr>
                      <w:p w14:paraId="479A9CC2" w14:textId="77777777" w:rsidR="00000000" w:rsidRDefault="00CB4C15">
                        <w:pPr>
                          <w:pStyle w:val="NormalWeb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5E3367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360"/>
                    <w:gridCol w:w="1575"/>
                    <w:gridCol w:w="5865"/>
                  </w:tblGrid>
                  <w:tr w:rsidR="00000000" w14:paraId="1C8950A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0200" w:type="dxa"/>
                        <w:gridSpan w:val="4"/>
                        <w:noWrap/>
                        <w:vAlign w:val="center"/>
                        <w:hideMark/>
                      </w:tcPr>
                      <w:p w14:paraId="28AD5457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BENEFÍCIOS PARA AS EMPRESAS</w:t>
                        </w:r>
                      </w:p>
                    </w:tc>
                  </w:tr>
                  <w:tr w:rsidR="00000000" w14:paraId="2D60E0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5AE87966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BENEFICIOS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vAlign w:val="center"/>
                        <w:hideMark/>
                      </w:tcPr>
                      <w:p w14:paraId="2386309F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FORMA DE PRESTAÇÃO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E04132F" w14:textId="77777777" w:rsidR="00000000" w:rsidRDefault="00CB4C15">
                        <w:pPr>
                          <w:pStyle w:val="NormalWeb"/>
                        </w:pPr>
                        <w:r>
                          <w:rPr>
                            <w:rStyle w:val="Forte"/>
                          </w:rPr>
                          <w:t>DESCRITIVO</w:t>
                        </w:r>
                      </w:p>
                    </w:tc>
                  </w:tr>
                  <w:tr w:rsidR="00000000" w14:paraId="6A3261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7894FE0F" w14:textId="77777777" w:rsidR="00000000" w:rsidRDefault="00CB4C15">
                        <w:pPr>
                          <w:pStyle w:val="NormalWeb"/>
                        </w:pPr>
                        <w:r>
                          <w:t>BENEFÍCIO REEMBOLSO RESCISÃO</w:t>
                        </w:r>
                      </w:p>
                    </w:tc>
                    <w:tc>
                      <w:tcPr>
                        <w:tcW w:w="360" w:type="dxa"/>
                        <w:noWrap/>
                        <w:vAlign w:val="center"/>
                        <w:hideMark/>
                      </w:tcPr>
                      <w:p w14:paraId="06E3734C" w14:textId="77777777" w:rsidR="00000000" w:rsidRDefault="00CB4C15">
                        <w:pPr>
                          <w:pStyle w:val="NormalWeb"/>
                        </w:pPr>
                        <w:r>
                          <w:t>1X</w:t>
                        </w:r>
                      </w:p>
                    </w:tc>
                    <w:tc>
                      <w:tcPr>
                        <w:tcW w:w="1575" w:type="dxa"/>
                        <w:noWrap/>
                        <w:vAlign w:val="center"/>
                        <w:hideMark/>
                      </w:tcPr>
                      <w:p w14:paraId="5ECAE92C" w14:textId="77777777" w:rsidR="00000000" w:rsidRDefault="00CB4C15">
                        <w:pPr>
                          <w:pStyle w:val="NormalWeb"/>
                        </w:pPr>
                        <w:r>
                          <w:t> R$  1.200,00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29603087" w14:textId="77777777" w:rsidR="00000000" w:rsidRDefault="00CB4C15">
                        <w:pPr>
                          <w:pStyle w:val="NormalWeb"/>
                        </w:pPr>
                        <w:r>
                          <w:t>EM CASO DE FALECIMENTO OU INVALIDEZ PERMANENTE PARA O TRABALHO, SERÁ ENCAMINHADO À CONTA CORRENTE BANCÁRIA DA EMPRESA APÓS RECEBIMENTO DOS DOCUMENTOS NECESSÁRIOS.</w:t>
                        </w:r>
                      </w:p>
                    </w:tc>
                  </w:tr>
                  <w:tr w:rsidR="00000000" w14:paraId="5381AF4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29E5200A" w14:textId="77777777" w:rsidR="00000000" w:rsidRDefault="00CB4C15">
                        <w:pPr>
                          <w:pStyle w:val="NormalWeb"/>
                        </w:pPr>
                        <w:r>
                          <w:t>BENEFÍCIO MEDICINA E SEGURANÇA DO TRABALHO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vAlign w:val="center"/>
                        <w:hideMark/>
                      </w:tcPr>
                      <w:p w14:paraId="560AFB45" w14:textId="77777777" w:rsidR="00000000" w:rsidRDefault="00CB4C15">
                        <w:pPr>
                          <w:pStyle w:val="NormalWeb"/>
                        </w:pPr>
                        <w:r>
                          <w:t>ASSESSORIA MENSAL SEM UNIDADE MÓVEL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E566586" w14:textId="77777777" w:rsidR="00000000" w:rsidRDefault="00CB4C15">
                        <w:pPr>
                          <w:pStyle w:val="NormalWeb"/>
                        </w:pPr>
                        <w:r>
                          <w:t>FICARÁ DISPO</w:t>
                        </w:r>
                        <w:r>
                          <w:t>NÍVEL ÀS EMPRESAS, REDE CREDENCIADA DE CLÍNICAS E LABORATÓRIOS PARA A OBTENÇÃO DE EXAMES CLÍNICOS SEM NENHUM CUSTO, COMO, O PCMSO (PROGRAMA DE CONTROLE MÉDICO DE SAÚDE OCUPACIONAL) PARA A MATRIZ E SEDE DA EMPRESA, E EXAMES CLÍNICOS (ASO – EXAMES ADMIS-SION</w:t>
                        </w:r>
                        <w:r>
                          <w:t xml:space="preserve">AIS, DEMISSIONAIS, PERIÓDICOS, RETORNO AO TRABALHO E MUDANÇA DE FUNÇÃO); RELATÓRIO ANUAL MODELO E-SOCIAL; SUPORTE JURÍDICO PARA ELABORAÇÃO DE QUESITOS TÉCNICOS EM CASO DE RECLAMAÇÕES TRABALHISTAS; ALÉM DO ARQUIVAMENTO E COORDENAÇÃO DA DOCUMENTAÇÃO TÉCNICA </w:t>
                        </w:r>
                        <w:r>
                          <w:t>E CLÍNICA IMPRESSA OU DIGITAL POR 20 (VINTE) ANOS, BEM COMO, CONCEDENDO DESCONTOS SIGNIFICATIVOS NAS DESPESAS COM EXAMES COMPLEMENTARES, COMO, HEMOGRAMA COMPLETO, ELETROENCEFALOGRAMA, ELETROCARDIOGRAMA, AUDIOMETRIA, ACUIDADE VISUAL, ESPIROMETRIA, PPRA, LTC</w:t>
                        </w:r>
                        <w:r>
                          <w:t>AT, E DEMAIS LAUDOS TÉCNICOS EXIGIDOS PELAS NORMAS REGULAMENTADORAS DO M.T.E. (MINISTÉRIO DO TRABALHO E EMPREGO), ATRAVÉS DE UM SIS-TEMA DE GESTÃO ON-LINE, ACESSO À REDE NACIONAL DE CLÍNICAS E LABORATÓRIOS CREDENCIADOS.</w:t>
                        </w:r>
                      </w:p>
                    </w:tc>
                  </w:tr>
                  <w:tr w:rsidR="00000000" w14:paraId="12B308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312D27E8" w14:textId="77777777" w:rsidR="00000000" w:rsidRDefault="00CB4C15">
                        <w:pPr>
                          <w:pStyle w:val="NormalWeb"/>
                        </w:pPr>
                        <w:r>
                          <w:t>BENEFÍCIO CONECTA EMPRESA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2C60BA36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15D475AC" w14:textId="77777777" w:rsidR="00000000" w:rsidRDefault="00CB4C15">
                        <w:pPr>
                          <w:pStyle w:val="NormalWeb"/>
                        </w:pPr>
                        <w:r>
                          <w:t>SERÁ</w:t>
                        </w:r>
                        <w:r>
                          <w:t xml:space="preserve"> DISPONIBILIZADO APLICATIVO SEM CONSUMO DA FRANQUIA DE DADOS, PARA QUE AS EMPRESAS POSSAM CONTATAR OS TRABALHADORES DE FORMA RÁPIDA E SEGURA.</w:t>
                        </w:r>
                      </w:p>
                    </w:tc>
                  </w:tr>
                  <w:tr w:rsidR="00000000" w14:paraId="28A97D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796C08DA" w14:textId="77777777" w:rsidR="00000000" w:rsidRDefault="00CB4C15">
                        <w:pPr>
                          <w:pStyle w:val="NormalWeb"/>
                        </w:pPr>
                        <w:r>
                          <w:t>BENEFÍCIO MURAL DE EMPREGOS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409C8F94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13CE852" w14:textId="77777777" w:rsidR="00000000" w:rsidRDefault="00CB4C15">
                        <w:pPr>
                          <w:pStyle w:val="NormalWeb"/>
                        </w:pPr>
                        <w:r>
                          <w:t xml:space="preserve">SERÁ </w:t>
                        </w:r>
                        <w:r>
                          <w:t>DISPONIBILIZADO AS EMPRESAS SISTEMA ON-LINE, PARA INSERÇÃO DAS VAGAS DISPONÍVEIS, TAIS VAGAS SERÃO DIVULGADAS AOS TRABALHADORES PELO BENEFÍCIO RECOLOCAÇÃO.</w:t>
                        </w:r>
                      </w:p>
                    </w:tc>
                  </w:tr>
                  <w:tr w:rsidR="00000000" w14:paraId="09BC05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0941D241" w14:textId="77777777" w:rsidR="00000000" w:rsidRDefault="00CB4C15">
                        <w:pPr>
                          <w:pStyle w:val="NormalWeb"/>
                        </w:pPr>
                        <w:r>
                          <w:t>BENEFÍCIO FOLHA DE PAGAMENTO VIRTUAL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3D2BC727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383FE34" w14:textId="77777777" w:rsidR="00000000" w:rsidRDefault="00CB4C15">
                        <w:pPr>
                          <w:pStyle w:val="NormalWeb"/>
                        </w:pPr>
                        <w:r>
                          <w:t xml:space="preserve">SERÁ DISPONIBILIZADO UM SISTEMA ON-LINE DE CADASTRAMENTO </w:t>
                        </w:r>
                        <w:r>
                          <w:t>E PAGAMENTO, JUNTAMENTE COM O BENEFÍCIO CONTA CORRENTE VIRTUAL.VISANDO AGILIZAR O ENVIO DAS REMUNERAÇÕES AOS COLABORADORES DAS EMPRESAS</w:t>
                        </w:r>
                      </w:p>
                    </w:tc>
                  </w:tr>
                  <w:tr w:rsidR="00000000" w14:paraId="1C1AD6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0D254BB3" w14:textId="77777777" w:rsidR="00000000" w:rsidRDefault="00CB4C15">
                        <w:pPr>
                          <w:pStyle w:val="NormalWeb"/>
                        </w:pPr>
                        <w:r>
                          <w:t>BENEFÍCIO COMPRA DIRETA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6AD5BFE2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252F213D" w14:textId="77777777" w:rsidR="00000000" w:rsidRDefault="00CB4C15">
                        <w:pPr>
                          <w:pStyle w:val="NormalWeb"/>
                        </w:pPr>
                        <w:r>
                          <w:t xml:space="preserve">SERÁ </w:t>
                        </w:r>
                        <w:r>
                          <w:t>DISPONIBILIZADO UMA REDE DE FORNECEDORES, COM DESCONTOS SIGNIFICATIVOS EM SEUS PRODUTOS E SERVIÇOS, DEVIDO A INEXISTÊNCIA DE INTERMEDIÁRIOS.</w:t>
                        </w:r>
                      </w:p>
                    </w:tc>
                  </w:tr>
                  <w:tr w:rsidR="00000000" w14:paraId="2ABDAD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4CA13FC8" w14:textId="77777777" w:rsidR="00000000" w:rsidRDefault="00CB4C15">
                        <w:pPr>
                          <w:pStyle w:val="NormalWeb"/>
                        </w:pPr>
                        <w:r>
                          <w:t>BENEFÍCIO TRIAGEM DE ATESTADO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6118C53B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0E533FA7" w14:textId="77777777" w:rsidR="00000000" w:rsidRDefault="00CB4C15">
                        <w:pPr>
                          <w:pStyle w:val="NormalWeb"/>
                        </w:pPr>
                        <w:r>
                          <w:t>SERÁ DISPONIBILIZADO SISTEMA ON-LINE PARA AS EMPRESAS ENCAMINHAREM OS ATESTADOS</w:t>
                        </w:r>
                        <w:r>
                          <w:t xml:space="preserve"> MÉDICOS RECEBIDOS DOS TRABALHADORES, TAIS ATESTADOS PASSARÃO POR TRIAGEM RESULTANDO EM UM LAUDO ENCAMINHADO AS EMPRESAS.</w:t>
                        </w:r>
                      </w:p>
                    </w:tc>
                  </w:tr>
                  <w:tr w:rsidR="00000000" w14:paraId="30B492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14:paraId="49BAC9A9" w14:textId="77777777" w:rsidR="00000000" w:rsidRDefault="00CB4C15">
                        <w:pPr>
                          <w:pStyle w:val="NormalWeb"/>
                        </w:pPr>
                        <w:r>
                          <w:t>BENEFÍCIO CERTIFICAÇÃO DIGITAL PAGO PELAS ENTIDADES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noWrap/>
                        <w:vAlign w:val="center"/>
                        <w:hideMark/>
                      </w:tcPr>
                      <w:p w14:paraId="1DD73FDF" w14:textId="77777777" w:rsidR="00000000" w:rsidRDefault="00CB4C15">
                        <w:pPr>
                          <w:pStyle w:val="NormalWeb"/>
                        </w:pPr>
                        <w:r>
                          <w:t>SIM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5BA21EE" w14:textId="77777777" w:rsidR="00000000" w:rsidRDefault="00CB4C15">
                        <w:pPr>
                          <w:pStyle w:val="NormalWeb"/>
                        </w:pPr>
                        <w:r>
                          <w:t>SERÁ DISPONIBILIZADO AOS EMPREGADORES CERTIFICADOS DIGITAIS SEM CUSTOS, PROP</w:t>
                        </w:r>
                        <w:r>
                          <w:t>ORCIONANDO ECONOMIA E COMODIDADE DEVIDO A POSSIBILIDADE DE ATENDIMENTO EM DOMICÍLIO.</w:t>
                        </w:r>
                      </w:p>
                    </w:tc>
                  </w:tr>
                </w:tbl>
                <w:p w14:paraId="1A551BAE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4E1392D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FF51786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DESCONTO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8944C37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desconto de alimentação será de no máximo 3,5% (trê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virgula cinco porcento) do salário mínimo nacional, quando fornecida pelo empregador.</w:t>
                  </w:r>
                </w:p>
                <w:p w14:paraId="4C3CC055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1AB5B5D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5DCDA80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4B72090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06919C4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Qualquer empregado que no curso do aviso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prévio, quando da iniciativa do empregador, obtiver novo emprego e provar essa condição por escrito, através de declaração do novo empregador, fica dispensado do cumprimento do restante do aviso prévio, considerando-se rescindido o contrato de trabalho na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data do efetivo desligamento, ficando as partes isentas do pagamento dos dias restantes do referido aviso;</w:t>
                  </w:r>
                </w:p>
                <w:p w14:paraId="4B0E4BF2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E845149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a Tempo Parcial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52F5D9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SERVIÇOS PARCIAIS DE FUNCIONÁRIOS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525943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convencionam que, aqueles estabelecimentos 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utilizam serviços apenas parcialmente poderão pagar o salário estabelecido na Cláusula Primeira, proporcionalmente aos dias trabalhados.</w:t>
                  </w:r>
                </w:p>
                <w:p w14:paraId="3DB3C438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faculdade em questão somente poderá ser utilizada para os empregados que trabalharem nessas condições no máximo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3 (três) dias em cada semana ou até 25 horas semanais.</w:t>
                  </w:r>
                </w:p>
                <w:p w14:paraId="347B61B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C5FE332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admissão, demissão e modalidades de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059BE6D6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RISCO DO NEGÓCIO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8F341FC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Uma vez cumprida as normas emanadas da empresa, que deverão ser por escrito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de conhecimento de todos, as empresas não poderão descontar de seus empregados as importâncias correspondentes a cheques devolvidos sem a devida provisão de fundos, por eles recebidos.</w:t>
                  </w:r>
                </w:p>
                <w:p w14:paraId="37373AC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ABRANGÊNCIA DE FUNÇÕES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CD618F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Trabalho, abrange todas as categorias de trabalhadores empregados no Setor de Hotéis, Restaurantes, Bares e Similares, cumprindo a mesma jornada de trabalho, sem quaisquer privilégios ou diferenciações entre os mesmos.</w:t>
                  </w:r>
                </w:p>
                <w:p w14:paraId="1C898D0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3F5488C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3ED035E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46A70530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CURSO NO SINDICATO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07EECB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decorrer do curso que o Sindicato vier a promover, as Empresas poderão conceder estágios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aos estudantes na forma da Lei 6.494, de 07/12/77.</w:t>
                  </w:r>
                </w:p>
                <w:p w14:paraId="704AE524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PROVAS DE VESTIBULAR OU ENEM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44581A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assegurado o abono de faltas do colaborador (a) no dia de realização de exame vestibular e provas do “ENEM”, desde que apresente documento 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ábil.</w:t>
                  </w:r>
                </w:p>
                <w:p w14:paraId="798C9D64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27EF37A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B4F4364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AD95CC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garantida a estabilidade provisória no emprego, à mulher gestante, desde a gravidez até 05 (cinco) meses após o parto.</w:t>
                  </w:r>
                </w:p>
                <w:p w14:paraId="6FC7EA51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3752AF2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0FD7A21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743134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COMPENSAÇÃO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346D1E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empregadores respeitarão a jornada de 44 (quarenta e quatro) horas semanais ou 220 horas mensais, facultando-se aos empregados e empregadores, na forma do art. 59,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parágrafos 2º, 5º e 6º da CLT, estabelecerem jornada especial de trabalho, reduzida ou compensada inclusive 12 X 36 (doze horas de trabalho por 36 horas de descanso).</w:t>
                  </w:r>
                </w:p>
                <w:p w14:paraId="6EF029BE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E7E442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D0955D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INTERVALO INTRAJORNADA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A2E485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   Conforme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Lei 13.467/2017, poderão as empresas que fornecem alimentação a seus funcionários, reduzir o intervalo intrajornada para até 30 (trinta) minutos. Para aquelas empresas que não fornecem alimentação, garantindo o intervalo intrajornada de no mínimo 01 (uma)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hora, a redução do intervalo intrajornada, implicará no pagamento do horário suprimido na forma do parágrafo 4º do Art. 71 da CLT.</w:t>
                  </w:r>
                </w:p>
                <w:p w14:paraId="2C99C61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  Considerando a peculiaridade do setor de trabalho aqui representado, a presente Convenção permite aos empregadores realiz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arem escala para seus empregados com a ampliação do intervalo intrajornada superiores a duas horas, em até no máximo 06 (seis) horas, o que não será considerado como tempo efetivo de serviço do empregado, nem a disposição, mesmo que gozados nas dependência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da empresa ou em outro local, e, desde que respeitado os limites do intervalo de 11 (onze) horas para as jornadas de trabalho.</w:t>
                  </w:r>
                </w:p>
                <w:p w14:paraId="22501DD8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Para os empregados que laboram na condição de vigias noturnos do estabelecimento em face da peculiaridade do trabalho, fica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dispensados de picotar em seus cartões de ponto o intervalo para repouso e alimentação.</w:t>
                  </w:r>
                </w:p>
                <w:p w14:paraId="7695ACA0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70C6910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2277D3A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TRABALHO AOS DOMINGOS E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FFC01EC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todos os empregados, que laboram aos domingos, será concedido, no mínimo uma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folga dominical por mês como DSR. Caso isso não seja possível, este domingo deverá ser remunerado em dobro, ou concedida uma folga adicional durante a semana que se segue.</w:t>
                  </w:r>
                </w:p>
                <w:p w14:paraId="21E28B22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Da mesma forma aplica-se esta regra para os feriados, quando os mesmos não forem compensados, podendo estes feriados serem compensados no prazo de um mês. .</w:t>
                  </w:r>
                </w:p>
                <w:p w14:paraId="0B006D5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A709D12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D4680E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ATRASO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4CCBF37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do empregado chegar atrasado e o empregador permitir seu trabalho nesse dia, nenhum desconto poderá sofrer, ficando assegurado o repouso semanal remunerado.</w:t>
                  </w:r>
                </w:p>
                <w:p w14:paraId="4DD086E2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3D36723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0289E27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TERCEIRA - TEMPO A DISPOSIÇÃO DO EM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PREGADOR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1482258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as empresas suspenderem o trabalho por motivos técnicos para execução de serviços de manutenção, limpeza ou outras razões, e também quando for impraticável suas prestações, independente da causa determinante, não poderão exigir a compens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ação das horas faltantes com trabalho extraordinário, em dias de férias, nem exigir que reponham as horas deixadas de trabalhar. Isto ocorrendo, as horas serão pagas como extraordinárias.</w:t>
                  </w:r>
                </w:p>
                <w:p w14:paraId="275A84A1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69ED53A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2666E983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Equipamentos de Proteção Indiv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55191F74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FORNECIMENTO DE EQUIPAMENTOS DE PROTEÇÃO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FD88F5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empregadores fornecerão aos empregados, gratuitamente todos os equipamentos de proteção para o exercício das respectivas funções, na forma da legislação em vigor, que trata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higiene, segurança e medicina do trabalho, sendo obrigatório o uso pelo empregado.</w:t>
                  </w:r>
                </w:p>
                <w:p w14:paraId="71FED8A9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8CABB1D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4791AC7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FORNECIMENTO DE UNIFORMES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5053CE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empregadores que exigirem dos empregados o uso de uniformes e outras peças especiais de vestuário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ficam obrigados aos seus respectivos fornecimentos gratuitamente, devendo os mesmos proceder a devolução quando estes não mais tiverem condições de uso ou em caso de rescisão contratual, no estado em que se encontrarem observando as seguintes condições:</w:t>
                  </w:r>
                </w:p>
                <w:p w14:paraId="14FF3B0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uniforme será fornecido ao empregado mediante comprovante de fornecimento, com cópia para o empregado;</w:t>
                  </w:r>
                </w:p>
                <w:p w14:paraId="1E88106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 o empregado não devolver o uniforme, no estado em que se encontrar, a empresa fica autorizada a promover o desconto do seu valor no acerto rescisório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64E8F961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8B3FB84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0BC4EBC5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C959EDD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CONTRIBUIÇÃO ASSISTENCIAL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2FC43E7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aprovação por unanimidade dos participantes na Assembleia Geral Extraordinária ocorrida no dia 03 de março de 2.022, as empresas 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epresentadas pelo Sindicato Patronal, recolherão em favor da Entidade, a título de Contribuição Assistencial Patronal, até o dia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30 de junho de 2022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 importância equivalente a:</w:t>
                  </w:r>
                </w:p>
                <w:p w14:paraId="12C5B09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-         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25% (Vinte e cinco por cento) do Salário Normativo da categoria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ara as empresas que tenham de 0 (zero) a 7 (sete) empregados;</w:t>
                  </w:r>
                </w:p>
                <w:p w14:paraId="45134E44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-         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45% (Quarenta e cinco por cento) do Salário Normativo da categoria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para as empresas que tenham de 8 (oito) à 15 (quinze) empregados;</w:t>
                  </w:r>
                </w:p>
                <w:p w14:paraId="10AE6B43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-         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65% (Sessenta e cinco por cento) do Sa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lário Normativo da Categoria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para as empresas que tenham 16 (dezesseis) ou mais empregados.</w:t>
                  </w:r>
                </w:p>
                <w:p w14:paraId="0E5593A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guias para recolhimento da contribuição acima deverão ser solicitadas ao Sindicato de Hoté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 Restaurantes Bares e Similares do Estado de Mato Grosso do Sul e recolhidas até a data prevista ou depositado na Caixa Econômica Federal, Agência 000017, Conta Corrente 03158-2 em nome da entidade.</w:t>
                  </w:r>
                </w:p>
                <w:p w14:paraId="040F1F61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Da falta da Contribuição Assistencial Patronal, no praz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previsto, implicará na multa de 2% (dois por cento), acrescidos de juros de 1% (um por cento) ao mês, até a data do efetivo pagamento.</w:t>
                  </w:r>
                </w:p>
                <w:p w14:paraId="5333834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CONTRIBUIÇÃO NEGOCIAL DOS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A415AF1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resolução aprovada em Assembleia Geral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Extraordinária dos Trabalhadores realizada no dia 20 de dezembro de 2.021, e publicação do edital no Jornal O ESTADO edição do dia 15/12/21 fl.D2, fica estabelecida a Contribuição Assistencial de 3% (três por cento) do salário normativo do trabalhador rep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resentado pelo Sindicato Laboral, que poderão ser descontados em folha de pagamento, quando autorizada pelo mesmo, dos meses de fevereiro/22, junho/22 e outubro/22 e recolhida até o dia 10 (dez) do mês subseqüente. A referida Contribuição é destinada para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manutenção da Entidade incumbida da representação, defesa e assistência sindical aos associados e integrantes da categoria. Os recolhimentos dos valores descontados, deverão ser efetuados em nome e conta do Sindicato dos Trabalhadores em Hotéis, Bares, 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taurantes e Similares de Campo Grande - MS, mediante guias pré-preenchidas, fornecidas gratuitamente pelo Sindicato Laboral.</w:t>
                  </w:r>
                </w:p>
                <w:p w14:paraId="384AC94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garantido ao trabalhador não associado ao Sindicato, o direito de oposição ao pagamento da contribuição, na forma do art. 8º,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Inciso VI da Constituição Federal e art. 462 da CLT. Para tanto o trabalhador deverá manifestar-se contrário, por escrito e pessoalmente, na Secretaria da Entidade Laboral, não sendo permitida outorga de poderes.</w:t>
                  </w:r>
                </w:p>
                <w:p w14:paraId="2819BBFC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7E4D75AE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disposições sobre relação entre si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7CA88AD2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ENTIDADE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8E288C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garantido o direito da Entidade Sindical de colocação de aviso no local de trabalho, em lugares visíveis, para comunicação e orientação dos empregados, após a ciência do empregador,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vetada a colocação e distribuição de panfletos políticos e partidários.</w:t>
                  </w:r>
                </w:p>
                <w:p w14:paraId="55A7440A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0CEA217B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0D132A1A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342E6B0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DA COMPETÊNCIA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898AD1B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litígios relativos à presente Convenção, bem como as dúvidas e casos omissos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serão dirimidos pela JUSTIÇA FEDERAL DO TRABALHO.</w:t>
                  </w:r>
                </w:p>
                <w:p w14:paraId="04359D02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17D5120C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422124D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HOMOLOGAÇÕES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A24F9C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homologações de rescisão contratual só poderão ser concretizadas, mediante a exibição dos seguintes documentos:</w:t>
                  </w:r>
                </w:p>
                <w:p w14:paraId="4790018B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    Exame mé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dico demissional;</w:t>
                  </w:r>
                </w:p>
                <w:p w14:paraId="7A9803B0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    CTPS, livro de Registro ou ficha atualizada, feitas as devidas anotações;</w:t>
                  </w:r>
                </w:p>
                <w:p w14:paraId="34D2811B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c)    Formulário do Seguro desemprego;</w:t>
                  </w:r>
                </w:p>
                <w:p w14:paraId="0AAFC08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d)    Apresentação do extrato analítico do FGTS;</w:t>
                  </w:r>
                </w:p>
                <w:p w14:paraId="137AAF9A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e)    Comprovante do recolhimento da multa do FGTS quando o funcionári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for demitido sem justa causa;</w:t>
                  </w:r>
                </w:p>
                <w:p w14:paraId="64AF5A45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f)     Carta de Preposto para aquele que for representar a Empresa na homologação;</w:t>
                  </w:r>
                </w:p>
                <w:p w14:paraId="3626F32A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g)    Cópia de Aviso Prévio para o Sindicato Laboral.</w:t>
                  </w:r>
                </w:p>
                <w:p w14:paraId="0F4B73E5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h)    Chave de Liberação do FGTS</w:t>
                  </w:r>
                </w:p>
                <w:p w14:paraId="5CA9BF4D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das verbas rescisórias deverá ser efetuado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dentro dos seguintes prazos:.</w:t>
                  </w:r>
                </w:p>
                <w:p w14:paraId="771CE621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    Até o 5º dia útil após o termino do contrato; ou</w:t>
                  </w:r>
                </w:p>
                <w:p w14:paraId="2AB5752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    Até o 10º dia, contado da data da notificação da demissão quando da ausência do aviso prévio, indenização do mesmo ou dispensa</w:t>
                  </w:r>
                </w:p>
                <w:p w14:paraId="0E5D1C7D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PRIMEIRA - TERMO DE QUITAÇÃO DE OBRIGAÇÕES TRABALHISTAS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51A926C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art. 507-B, caput e parágrafo da CLT, é facultado a empregados e empregadores, firmar o Termo de Quitação Anual das Obrigações Trabalhistas, de uma para com outra parte, com assistênc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ia e homologação por parte do Sindicato Laboral da Categoria, onde será discriminada as obrigações cumpridas e dele constará a quitação anual dada pelo empregado, com eficácia liberatória das parcelas nele especificadas.</w:t>
                  </w:r>
                </w:p>
                <w:p w14:paraId="076FF6C1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6D5A0275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Descumprimento do Instrumento Col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311D331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INFRAÇÃO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83F066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infração de qualquer cláusula da presente Convenção Coletiva acarretará multa de um salário normativo da Categoria, em favor da parte prejudicada.</w:t>
                  </w:r>
                </w:p>
                <w:p w14:paraId="34E5649A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5F5130D9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48CBEAEB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TERCEIRA - DEF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ICIENTE FÍSICO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2001D6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comprometem-se a não fazer restrições para admissão de deficientes físicos sempre que as circunstâncias materiais e administrativas da empresa assim o permitirem.</w:t>
                  </w:r>
                </w:p>
                <w:p w14:paraId="6974BEB3" w14:textId="77777777" w:rsidR="00000000" w:rsidRDefault="00CB4C15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5"/>
                  </w:tblGrid>
                  <w:tr w:rsidR="00000000" w14:paraId="1D3C67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C4C167" w14:textId="77777777" w:rsidR="00000000" w:rsidRDefault="00CB4C1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JULIANO BATTISTEL KAMM WERTHEIMER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</w:t>
                        </w:r>
                        <w:r>
                          <w:rPr>
                            <w:rFonts w:eastAsia="Times New Roman"/>
                          </w:rPr>
                          <w:t xml:space="preserve">OS HOTEIS RESTAURANTES BARES E SIMILARES 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HELIO AMANCIO PINTO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EM HOTEIS, BARES, RESTAURANTES E SIMILARES DE CAMPO GRANDE - 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14:paraId="315121F8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1090F14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2384DD87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DA ASSEMBLEIA LABORAL 1ª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3B334861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96C7DE4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1C364479" wp14:editId="68ED93FF">
                        <wp:extent cx="7778496" cy="10698480"/>
                        <wp:effectExtent l="0" t="0" r="0" b="762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496" cy="1069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2666B4" w14:textId="77777777" w:rsidR="00000000" w:rsidRDefault="00CB4C15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63EB6D1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DA ASSEMBLEIA LABORAL 2ª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0EF86F4F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BD2D515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D5386C2" wp14:editId="0865BA9D">
                        <wp:extent cx="7778496" cy="10698480"/>
                        <wp:effectExtent l="0" t="0" r="0" b="762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496" cy="1069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4566FD" w14:textId="77777777" w:rsidR="00000000" w:rsidRDefault="00CB4C15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B8CC22B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ATA DE NEGOCIAÇÃO CCT CAMPO GRANDE 1ª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32019F53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0349F35F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470A2A2D" w14:textId="77777777" w:rsidR="00000000" w:rsidRDefault="00CB4C15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6C00CFB2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IV - ATA DE NEGOCIAÇÃO CCT CAMPO GRANDE - 2ª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762CDE37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255DC3E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22EEFE88" w14:textId="77777777" w:rsidR="00000000" w:rsidRDefault="00CB4C15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5A7703D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 - ATA DE NEGOCIAÇÃO CCT CAMPO GRANDE 3ª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43899CEA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155A529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1DADDBCE" w14:textId="77777777" w:rsidR="00000000" w:rsidRDefault="00CB4C15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31D6335F" w14:textId="77777777" w:rsidR="00000000" w:rsidRDefault="00CB4C1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 - ATA DE NEGOCIAÇÃO CCT CAMPO GRANDE 4ª PARTE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017D8C92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48867456" w14:textId="77777777" w:rsidR="00000000" w:rsidRDefault="00CB4C1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6929E307" w14:textId="77777777" w:rsidR="00000000" w:rsidRDefault="00CB4C1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do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F6C54BB" w14:textId="77777777" w:rsidR="00000000" w:rsidRDefault="00CB4C15">
            <w:pPr>
              <w:rPr>
                <w:rFonts w:eastAsia="Times New Roman"/>
              </w:rPr>
            </w:pPr>
          </w:p>
        </w:tc>
      </w:tr>
    </w:tbl>
    <w:p w14:paraId="1F265276" w14:textId="77777777" w:rsidR="00000000" w:rsidRDefault="00CB4C15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15"/>
    <w:rsid w:val="00C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98A17"/>
  <w15:chartTrackingRefBased/>
  <w15:docId w15:val="{18981D90-5CA6-4D6F-BBD2-EFEF9F3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2435_20222022_03_24T17_54_4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3.mte.gov.br/sistemas/mediador/imagemAnexo/MR012435_20222022_03_24T17_52_4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3.mte.gov.br/sistemas/mediador/imagemAnexo/MR012435_20222022_03_24T17_51_45.jpg" TargetMode="External"/><Relationship Id="rId11" Type="http://schemas.openxmlformats.org/officeDocument/2006/relationships/hyperlink" Target="http://www3.mte.gov.br/sistemas/mediador/imagemAnexo/MR012435_20222022_03_24T17_55_51.pdf" TargetMode="External"/><Relationship Id="rId5" Type="http://schemas.openxmlformats.org/officeDocument/2006/relationships/hyperlink" Target="http://www.beneficiosocial.com.br/" TargetMode="External"/><Relationship Id="rId10" Type="http://schemas.openxmlformats.org/officeDocument/2006/relationships/hyperlink" Target="http://www3.mte.gov.br/sistemas/mediador/imagemAnexo/MR012435_20222022_03_24T17_48_46.pdf" TargetMode="External"/><Relationship Id="rId4" Type="http://schemas.openxmlformats.org/officeDocument/2006/relationships/hyperlink" Target="http://www.beneficiosocial.com.br/manuais-orientacao" TargetMode="External"/><Relationship Id="rId9" Type="http://schemas.openxmlformats.org/officeDocument/2006/relationships/hyperlink" Target="http://www3.mte.gov.br/sistemas/mediador/imagemAnexo/MR012435_20222022_03_24T17_45_3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4327</Words>
  <Characters>26445</Characters>
  <Application>Microsoft Office Word</Application>
  <DocSecurity>0</DocSecurity>
  <Lines>220</Lines>
  <Paragraphs>61</Paragraphs>
  <ScaleCrop>false</ScaleCrop>
  <Company/>
  <LinksUpToDate>false</LinksUpToDate>
  <CharactersWithSpaces>30711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subject/>
  <dc:creator>7173</dc:creator>
  <cp:keywords/>
  <dc:description/>
  <cp:lastModifiedBy>7173</cp:lastModifiedBy>
  <cp:revision>2</cp:revision>
  <dcterms:created xsi:type="dcterms:W3CDTF">2022-03-31T13:20:00Z</dcterms:created>
  <dcterms:modified xsi:type="dcterms:W3CDTF">2022-03-31T13:20:00Z</dcterms:modified>
</cp:coreProperties>
</file>